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6B6F8A61"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6B544A">
        <w:rPr>
          <w:rFonts w:ascii="Arial" w:hAnsi="Arial" w:cs="Arial"/>
          <w:b/>
          <w:sz w:val="24"/>
          <w:szCs w:val="24"/>
          <w:lang w:eastAsia="zh-CN"/>
        </w:rPr>
        <w:t>110bis</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E25F13">
        <w:rPr>
          <w:rFonts w:ascii="Arial" w:eastAsia="MS Mincho" w:hAnsi="Arial" w:cs="Arial"/>
          <w:b/>
          <w:sz w:val="24"/>
          <w:szCs w:val="24"/>
        </w:rPr>
        <w:t>04456</w:t>
      </w:r>
    </w:p>
    <w:p w14:paraId="0ED16545" w14:textId="0F77CBE8" w:rsidR="0068254F" w:rsidRPr="00881E60" w:rsidRDefault="006B544A"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Changsha, China, April 15</w:t>
      </w:r>
      <w:r w:rsidRPr="006B544A">
        <w:rPr>
          <w:rFonts w:ascii="Arial" w:hAnsi="Arial"/>
          <w:b/>
          <w:sz w:val="24"/>
          <w:szCs w:val="24"/>
          <w:vertAlign w:val="superscript"/>
          <w:lang w:eastAsia="zh-CN"/>
        </w:rPr>
        <w:t>th</w:t>
      </w:r>
      <w:r>
        <w:rPr>
          <w:rFonts w:ascii="Arial" w:hAnsi="Arial"/>
          <w:b/>
          <w:sz w:val="24"/>
          <w:szCs w:val="24"/>
          <w:lang w:eastAsia="zh-CN"/>
        </w:rPr>
        <w:t xml:space="preserve"> </w:t>
      </w:r>
      <w:r w:rsidR="00EF3FF4" w:rsidRPr="00EF3FF4">
        <w:rPr>
          <w:rFonts w:ascii="Arial" w:hAnsi="Arial"/>
          <w:b/>
          <w:sz w:val="24"/>
          <w:szCs w:val="24"/>
          <w:lang w:eastAsia="zh-CN"/>
        </w:rPr>
        <w:t>‒</w:t>
      </w:r>
      <w:r w:rsidR="00EF3FF4">
        <w:rPr>
          <w:rFonts w:ascii="Arial" w:hAnsi="Arial"/>
          <w:b/>
          <w:sz w:val="24"/>
          <w:szCs w:val="24"/>
          <w:lang w:eastAsia="zh-CN"/>
        </w:rPr>
        <w:t xml:space="preserve"> </w:t>
      </w:r>
      <w:r>
        <w:rPr>
          <w:rFonts w:ascii="Arial" w:hAnsi="Arial"/>
          <w:b/>
          <w:sz w:val="24"/>
          <w:szCs w:val="24"/>
          <w:lang w:eastAsia="zh-CN"/>
        </w:rPr>
        <w:t>19</w:t>
      </w:r>
      <w:r w:rsidRPr="006B544A">
        <w:rPr>
          <w:rFonts w:ascii="Arial" w:hAnsi="Arial"/>
          <w:b/>
          <w:sz w:val="24"/>
          <w:szCs w:val="24"/>
          <w:vertAlign w:val="superscript"/>
          <w:lang w:eastAsia="zh-CN"/>
        </w:rPr>
        <w:t>th</w:t>
      </w:r>
      <w:r w:rsidR="00EF3FF4" w:rsidRPr="00EF3FF4">
        <w:rPr>
          <w:rFonts w:ascii="Arial" w:hAnsi="Arial"/>
          <w:b/>
          <w:sz w:val="24"/>
          <w:szCs w:val="24"/>
          <w:lang w:eastAsia="zh-CN"/>
        </w:rPr>
        <w:t>, 202</w:t>
      </w:r>
      <w:r w:rsidR="00E76B29">
        <w:rPr>
          <w:rFonts w:ascii="Arial" w:hAnsi="Arial"/>
          <w:b/>
          <w:sz w:val="24"/>
          <w:szCs w:val="24"/>
          <w:lang w:eastAsia="zh-CN"/>
        </w:rPr>
        <w:t>4</w:t>
      </w:r>
    </w:p>
    <w:p w14:paraId="2C1E7283" w14:textId="77777777" w:rsidR="00222930" w:rsidRDefault="00222930" w:rsidP="00E61455">
      <w:pPr>
        <w:tabs>
          <w:tab w:val="left" w:pos="1985"/>
        </w:tabs>
        <w:jc w:val="both"/>
        <w:rPr>
          <w:rFonts w:ascii="Arial" w:hAnsi="Arial" w:cs="Arial"/>
          <w:b/>
          <w:sz w:val="22"/>
        </w:rPr>
      </w:pPr>
    </w:p>
    <w:p w14:paraId="1226C057" w14:textId="7F13880E"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E30700" w:rsidRPr="00E30700">
        <w:rPr>
          <w:rFonts w:ascii="Arial" w:hAnsi="Arial" w:cs="Arial"/>
          <w:b/>
          <w:sz w:val="22"/>
        </w:rPr>
        <w:t>Initial consideration on power domain enhancement for single carrier operation</w:t>
      </w:r>
    </w:p>
    <w:p w14:paraId="73AD8CE3" w14:textId="429C328E" w:rsidR="00E61455" w:rsidRPr="00E30700" w:rsidRDefault="00E61455" w:rsidP="00E61455">
      <w:pPr>
        <w:tabs>
          <w:tab w:val="left" w:pos="1985"/>
        </w:tabs>
        <w:jc w:val="both"/>
        <w:rPr>
          <w:rFonts w:ascii="Arial" w:hAnsi="Arial" w:cs="Arial"/>
          <w:b/>
          <w:sz w:val="22"/>
          <w:lang w:eastAsia="zh-CN"/>
        </w:rPr>
      </w:pPr>
      <w:r w:rsidRPr="00E30700">
        <w:rPr>
          <w:rFonts w:ascii="Arial" w:hAnsi="Arial" w:cs="Arial"/>
          <w:b/>
          <w:sz w:val="22"/>
        </w:rPr>
        <w:t>Agenda Item:</w:t>
      </w:r>
      <w:r w:rsidRPr="00E30700">
        <w:rPr>
          <w:rFonts w:ascii="Arial" w:hAnsi="Arial" w:cs="Arial"/>
          <w:b/>
          <w:sz w:val="22"/>
        </w:rPr>
        <w:tab/>
      </w:r>
      <w:r w:rsidR="0058398A" w:rsidRPr="00E30700">
        <w:rPr>
          <w:rFonts w:ascii="Arial" w:hAnsi="Arial" w:cs="Arial"/>
          <w:b/>
          <w:sz w:val="22"/>
          <w:lang w:eastAsia="zh-CN"/>
        </w:rPr>
        <w:t>9</w:t>
      </w:r>
      <w:r w:rsidR="00280D59" w:rsidRPr="00E30700">
        <w:rPr>
          <w:rFonts w:ascii="Arial" w:hAnsi="Arial" w:cs="Arial"/>
          <w:b/>
          <w:sz w:val="22"/>
          <w:lang w:eastAsia="zh-CN"/>
        </w:rPr>
        <w:t>.</w:t>
      </w:r>
      <w:r w:rsidR="0058398A" w:rsidRPr="00E30700">
        <w:rPr>
          <w:rFonts w:ascii="Arial" w:hAnsi="Arial" w:cs="Arial"/>
          <w:b/>
          <w:sz w:val="22"/>
          <w:lang w:eastAsia="zh-CN"/>
        </w:rPr>
        <w:t>1</w:t>
      </w:r>
      <w:r w:rsidR="00280D59" w:rsidRPr="00E30700">
        <w:rPr>
          <w:rFonts w:ascii="Arial" w:hAnsi="Arial" w:cs="Arial"/>
          <w:b/>
          <w:sz w:val="22"/>
          <w:lang w:eastAsia="zh-CN"/>
        </w:rPr>
        <w:t>.</w:t>
      </w:r>
      <w:r w:rsidR="0058398A" w:rsidRPr="00E30700">
        <w:rPr>
          <w:rFonts w:ascii="Arial" w:hAnsi="Arial" w:cs="Arial"/>
          <w:b/>
          <w:sz w:val="22"/>
          <w:lang w:eastAsia="zh-CN"/>
        </w:rPr>
        <w:t>2</w:t>
      </w:r>
    </w:p>
    <w:p w14:paraId="6402E503" w14:textId="6CF9F45F"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0917DA">
        <w:rPr>
          <w:rFonts w:ascii="Arial" w:hAnsi="Arial" w:cs="Arial"/>
          <w:b/>
          <w:sz w:val="22"/>
        </w:rPr>
        <w:t>CATT</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524D1BD5" w:rsidR="00EF3FF4" w:rsidRPr="00AB3D40" w:rsidRDefault="006B544A" w:rsidP="003E08FC">
      <w:pPr>
        <w:pStyle w:val="Heading1"/>
        <w:rPr>
          <w:lang w:eastAsia="zh-CN"/>
        </w:rPr>
      </w:pPr>
      <w:r>
        <w:t>1 Introduction</w:t>
      </w:r>
    </w:p>
    <w:p w14:paraId="01285210" w14:textId="378D0597" w:rsidR="00A1022F" w:rsidRDefault="0021331F" w:rsidP="00A1022F">
      <w:pPr>
        <w:pStyle w:val="B1"/>
        <w:ind w:left="0" w:firstLine="0"/>
        <w:rPr>
          <w:lang w:eastAsia="zh-CN"/>
        </w:rPr>
      </w:pPr>
      <w:r w:rsidRPr="0021331F">
        <w:rPr>
          <w:lang w:eastAsia="zh-CN"/>
        </w:rPr>
        <w:t xml:space="preserve">Within the scope of the Release-18 coverage enhancement </w:t>
      </w:r>
      <w:r>
        <w:rPr>
          <w:lang w:eastAsia="zh-CN"/>
        </w:rPr>
        <w:t>WI</w:t>
      </w:r>
      <w:r w:rsidRPr="0021331F">
        <w:rPr>
          <w:lang w:eastAsia="zh-CN"/>
        </w:rPr>
        <w:t>, specifications for increasing power and/or reducing MPR for P</w:t>
      </w:r>
      <w:r>
        <w:rPr>
          <w:lang w:eastAsia="zh-CN"/>
        </w:rPr>
        <w:t>C2</w:t>
      </w:r>
      <w:r w:rsidRPr="0021331F">
        <w:rPr>
          <w:lang w:eastAsia="zh-CN"/>
        </w:rPr>
        <w:t xml:space="preserve"> and </w:t>
      </w:r>
      <w:r>
        <w:rPr>
          <w:lang w:eastAsia="zh-CN"/>
        </w:rPr>
        <w:t>PC</w:t>
      </w:r>
      <w:r w:rsidRPr="0021331F">
        <w:rPr>
          <w:lang w:eastAsia="zh-CN"/>
        </w:rPr>
        <w:t>3 using QPSK were established, focusing primarily on the core area of a single uplink carrier. However, potential for further enhancement of transmission power is curtailed by the requirements for controlling out-of-band emissions, such as those outlined by ACLR</w:t>
      </w:r>
      <w:r>
        <w:rPr>
          <w:lang w:eastAsia="zh-CN"/>
        </w:rPr>
        <w:t xml:space="preserve"> requirements</w:t>
      </w:r>
      <w:r w:rsidRPr="0021331F">
        <w:rPr>
          <w:lang w:eastAsia="zh-CN"/>
        </w:rPr>
        <w:t>. It has been recognized that, in circumstances where the deployment of two adjacent frequency blocks does not introduce co-existence conflicts, there may be a possibility to loosen these emission constraints. This realization opens up additional scope for advancing transmit power beyond current limitations.</w:t>
      </w:r>
      <w:r w:rsidR="00A1022F">
        <w:rPr>
          <w:lang w:eastAsia="zh-CN"/>
        </w:rPr>
        <w:t xml:space="preserve"> </w:t>
      </w:r>
    </w:p>
    <w:p w14:paraId="19F62DBE" w14:textId="3E870570" w:rsidR="006B544A" w:rsidRDefault="00A1022F" w:rsidP="00A1022F">
      <w:pPr>
        <w:pStyle w:val="B1"/>
        <w:ind w:left="0" w:firstLine="0"/>
        <w:rPr>
          <w:lang w:eastAsia="zh-CN"/>
        </w:rPr>
      </w:pPr>
      <w:r>
        <w:rPr>
          <w:lang w:eastAsia="zh-CN"/>
        </w:rPr>
        <w:t xml:space="preserve">Moreover, it has been noted that there is a significant gap between the existing MPR requirements and the actual measured power back-off for intra-band CA in both FR1 and FR2 bands. The definition of MPR is primarily determined by the configuration of the band combination, rather than the active uplink component carriers (UL CCs) that are scheduled. This leads to a scenario where the transmission power capability for UL CA or DC is not maximized, especially when compared to single CC transmissions. Therefore, it is recommended to reassess and refine the MPR definition for NR intra-band UL CA or DC. </w:t>
      </w:r>
    </w:p>
    <w:p w14:paraId="331ABA4E" w14:textId="39A7EEB4" w:rsidR="00970455" w:rsidRDefault="00970455" w:rsidP="00A1022F">
      <w:pPr>
        <w:pStyle w:val="B1"/>
        <w:ind w:left="0" w:firstLine="0"/>
        <w:rPr>
          <w:lang w:eastAsia="zh-CN"/>
        </w:rPr>
      </w:pPr>
      <w:r>
        <w:rPr>
          <w:lang w:eastAsia="zh-CN"/>
        </w:rPr>
        <w:t xml:space="preserve">With such considerations, RAN#103 approves </w:t>
      </w:r>
      <w:r w:rsidR="00A17B82">
        <w:rPr>
          <w:lang w:eastAsia="zh-CN"/>
        </w:rPr>
        <w:t>a UE RF work item, part of whose objectives cover the potential enhancements in power domain as shown below [1]:</w:t>
      </w:r>
    </w:p>
    <w:tbl>
      <w:tblPr>
        <w:tblStyle w:val="TableGrid"/>
        <w:tblW w:w="0" w:type="auto"/>
        <w:tblLook w:val="04A0" w:firstRow="1" w:lastRow="0" w:firstColumn="1" w:lastColumn="0" w:noHBand="0" w:noVBand="1"/>
      </w:tblPr>
      <w:tblGrid>
        <w:gridCol w:w="10457"/>
      </w:tblGrid>
      <w:tr w:rsidR="00A94841" w:rsidRPr="00695042" w14:paraId="435A039A" w14:textId="77777777" w:rsidTr="00A94841">
        <w:tc>
          <w:tcPr>
            <w:tcW w:w="10457" w:type="dxa"/>
          </w:tcPr>
          <w:p w14:paraId="5629625B" w14:textId="77777777" w:rsidR="00695042" w:rsidRPr="00695042" w:rsidRDefault="00695042" w:rsidP="00695042">
            <w:pPr>
              <w:rPr>
                <w:b/>
                <w:i/>
                <w:iCs/>
              </w:rPr>
            </w:pPr>
            <w:r w:rsidRPr="00695042">
              <w:rPr>
                <w:b/>
                <w:i/>
                <w:iCs/>
              </w:rPr>
              <w:t>Power boosting and/or MPR reduction</w:t>
            </w:r>
          </w:p>
          <w:p w14:paraId="0CAF1720" w14:textId="77777777" w:rsidR="00695042" w:rsidRPr="00695042" w:rsidRDefault="00695042" w:rsidP="00695042">
            <w:pPr>
              <w:pStyle w:val="ListParagraph"/>
              <w:widowControl w:val="0"/>
              <w:numPr>
                <w:ilvl w:val="0"/>
                <w:numId w:val="34"/>
              </w:numPr>
              <w:overflowPunct/>
              <w:autoSpaceDE/>
              <w:autoSpaceDN/>
              <w:adjustRightInd/>
              <w:spacing w:after="0"/>
              <w:ind w:firstLineChars="0"/>
              <w:textAlignment w:val="auto"/>
              <w:rPr>
                <w:i/>
                <w:iCs/>
              </w:rPr>
            </w:pPr>
            <w:r w:rsidRPr="00695042">
              <w:rPr>
                <w:rFonts w:hint="eastAsia"/>
                <w:i/>
                <w:iCs/>
              </w:rPr>
              <w:t>Specify</w:t>
            </w:r>
            <w:r w:rsidRPr="00695042">
              <w:rPr>
                <w:i/>
                <w:iCs/>
              </w:rPr>
              <w:t xml:space="preserve"> power domain enhancement, e.g., MPR reduction for NR single carrier and NR intra-band UL CA</w:t>
            </w:r>
          </w:p>
          <w:p w14:paraId="3416E6D7" w14:textId="77777777" w:rsidR="00695042" w:rsidRPr="00695042" w:rsidRDefault="00695042" w:rsidP="00695042">
            <w:pPr>
              <w:pStyle w:val="ListParagraph"/>
              <w:widowControl w:val="0"/>
              <w:numPr>
                <w:ilvl w:val="1"/>
                <w:numId w:val="34"/>
              </w:numPr>
              <w:overflowPunct/>
              <w:autoSpaceDE/>
              <w:autoSpaceDN/>
              <w:adjustRightInd/>
              <w:spacing w:after="0"/>
              <w:ind w:firstLineChars="0"/>
              <w:textAlignment w:val="auto"/>
              <w:rPr>
                <w:i/>
                <w:iCs/>
              </w:rPr>
            </w:pPr>
            <w:r w:rsidRPr="00695042">
              <w:rPr>
                <w:rFonts w:hint="eastAsia"/>
                <w:i/>
                <w:iCs/>
              </w:rPr>
              <w:t xml:space="preserve">Study </w:t>
            </w:r>
            <w:r w:rsidRPr="00695042">
              <w:rPr>
                <w:i/>
                <w:iCs/>
              </w:rPr>
              <w:t xml:space="preserve">the scenarios, </w:t>
            </w:r>
            <w:r w:rsidRPr="00695042">
              <w:rPr>
                <w:rFonts w:hint="eastAsia"/>
                <w:i/>
                <w:iCs/>
              </w:rPr>
              <w:t>and</w:t>
            </w:r>
            <w:r w:rsidRPr="00695042">
              <w:rPr>
                <w:i/>
                <w:iCs/>
              </w:rPr>
              <w:t xml:space="preserve"> if feasible,</w:t>
            </w:r>
            <w:r w:rsidRPr="00695042">
              <w:rPr>
                <w:rFonts w:hint="eastAsia"/>
                <w:i/>
                <w:iCs/>
              </w:rPr>
              <w:t xml:space="preserve"> sp</w:t>
            </w:r>
            <w:r w:rsidRPr="00695042">
              <w:rPr>
                <w:i/>
                <w:iCs/>
              </w:rPr>
              <w:t>ecify the power domain enhancement, e.g., MPR reduction, for PC2 and PC3 with applicable ACLR/SEM/spurious emission modification with BS indication for NR FR1 on a single UL carrier</w:t>
            </w:r>
          </w:p>
          <w:p w14:paraId="6DA29321" w14:textId="77777777" w:rsidR="00695042" w:rsidRPr="00695042" w:rsidRDefault="00695042" w:rsidP="00695042">
            <w:pPr>
              <w:pStyle w:val="ListParagraph"/>
              <w:widowControl w:val="0"/>
              <w:numPr>
                <w:ilvl w:val="2"/>
                <w:numId w:val="34"/>
              </w:numPr>
              <w:overflowPunct/>
              <w:autoSpaceDE/>
              <w:autoSpaceDN/>
              <w:adjustRightInd/>
              <w:spacing w:after="0"/>
              <w:ind w:firstLineChars="0"/>
              <w:textAlignment w:val="auto"/>
              <w:rPr>
                <w:i/>
                <w:iCs/>
              </w:rPr>
            </w:pPr>
            <w:r w:rsidRPr="00695042">
              <w:rPr>
                <w:i/>
                <w:iCs/>
              </w:rPr>
              <w:t>Include t</w:t>
            </w:r>
            <w:r w:rsidRPr="00695042">
              <w:rPr>
                <w:rFonts w:hint="eastAsia"/>
                <w:i/>
                <w:iCs/>
              </w:rPr>
              <w:t>he following scenarios</w:t>
            </w:r>
            <w:r w:rsidRPr="00695042">
              <w:rPr>
                <w:i/>
                <w:iCs/>
              </w:rPr>
              <w:t>:</w:t>
            </w:r>
          </w:p>
          <w:p w14:paraId="10F34EB4" w14:textId="77777777" w:rsidR="00695042" w:rsidRPr="00695042" w:rsidRDefault="00695042" w:rsidP="00695042">
            <w:pPr>
              <w:pStyle w:val="ListParagraph"/>
              <w:widowControl w:val="0"/>
              <w:numPr>
                <w:ilvl w:val="3"/>
                <w:numId w:val="34"/>
              </w:numPr>
              <w:overflowPunct/>
              <w:autoSpaceDE/>
              <w:autoSpaceDN/>
              <w:adjustRightInd/>
              <w:spacing w:after="0"/>
              <w:ind w:firstLineChars="0"/>
              <w:textAlignment w:val="auto"/>
              <w:rPr>
                <w:i/>
                <w:iCs/>
              </w:rPr>
            </w:pPr>
            <w:r w:rsidRPr="00695042">
              <w:rPr>
                <w:rFonts w:hint="eastAsia"/>
                <w:i/>
                <w:iCs/>
              </w:rPr>
              <w:t>when there is no</w:t>
            </w:r>
            <w:r w:rsidRPr="00695042">
              <w:rPr>
                <w:i/>
                <w:iCs/>
              </w:rPr>
              <w:t xml:space="preserve"> adjacent</w:t>
            </w:r>
            <w:r w:rsidRPr="00695042">
              <w:rPr>
                <w:rFonts w:hint="eastAsia"/>
                <w:i/>
                <w:iCs/>
              </w:rPr>
              <w:t xml:space="preserve"> </w:t>
            </w:r>
            <w:r w:rsidRPr="00695042">
              <w:rPr>
                <w:i/>
                <w:iCs/>
              </w:rPr>
              <w:t>in-band/out-of-band co-existence issue</w:t>
            </w:r>
          </w:p>
          <w:p w14:paraId="611F10A7" w14:textId="77777777" w:rsidR="00695042" w:rsidRPr="00695042" w:rsidRDefault="00695042" w:rsidP="00695042">
            <w:pPr>
              <w:pStyle w:val="ListParagraph"/>
              <w:widowControl w:val="0"/>
              <w:numPr>
                <w:ilvl w:val="3"/>
                <w:numId w:val="34"/>
              </w:numPr>
              <w:overflowPunct/>
              <w:autoSpaceDE/>
              <w:autoSpaceDN/>
              <w:adjustRightInd/>
              <w:spacing w:after="0"/>
              <w:ind w:firstLineChars="0"/>
              <w:textAlignment w:val="auto"/>
              <w:rPr>
                <w:i/>
                <w:iCs/>
              </w:rPr>
            </w:pPr>
            <w:r w:rsidRPr="00695042">
              <w:rPr>
                <w:i/>
                <w:iCs/>
              </w:rPr>
              <w:t>when a UE uses a narrower channel bandwidth within a wider BS bandwidth</w:t>
            </w:r>
          </w:p>
          <w:p w14:paraId="7FCEB885" w14:textId="77777777" w:rsidR="00695042" w:rsidRPr="00695042" w:rsidRDefault="00695042" w:rsidP="00695042">
            <w:pPr>
              <w:pStyle w:val="ListParagraph"/>
              <w:widowControl w:val="0"/>
              <w:numPr>
                <w:ilvl w:val="2"/>
                <w:numId w:val="34"/>
              </w:numPr>
              <w:overflowPunct/>
              <w:autoSpaceDE/>
              <w:autoSpaceDN/>
              <w:adjustRightInd/>
              <w:spacing w:after="0"/>
              <w:ind w:firstLineChars="0"/>
              <w:textAlignment w:val="auto"/>
              <w:rPr>
                <w:i/>
                <w:iCs/>
              </w:rPr>
            </w:pPr>
            <w:r w:rsidRPr="00695042">
              <w:rPr>
                <w:i/>
                <w:iCs/>
              </w:rPr>
              <w:t>Include</w:t>
            </w:r>
            <w:r w:rsidRPr="00695042">
              <w:rPr>
                <w:rFonts w:hint="eastAsia"/>
                <w:i/>
                <w:iCs/>
              </w:rPr>
              <w:t xml:space="preserve"> </w:t>
            </w:r>
            <w:r w:rsidRPr="00695042">
              <w:rPr>
                <w:i/>
                <w:iCs/>
              </w:rPr>
              <w:t>b</w:t>
            </w:r>
            <w:r w:rsidRPr="00695042">
              <w:rPr>
                <w:rFonts w:hint="eastAsia"/>
                <w:i/>
                <w:iCs/>
              </w:rPr>
              <w:t xml:space="preserve">oth </w:t>
            </w:r>
            <w:r w:rsidRPr="00695042">
              <w:rPr>
                <w:i/>
                <w:iCs/>
              </w:rPr>
              <w:t>(e)</w:t>
            </w:r>
            <w:proofErr w:type="spellStart"/>
            <w:r w:rsidRPr="00695042">
              <w:rPr>
                <w:rFonts w:hint="eastAsia"/>
                <w:i/>
                <w:iCs/>
              </w:rPr>
              <w:t>RedCap</w:t>
            </w:r>
            <w:proofErr w:type="spellEnd"/>
            <w:r w:rsidRPr="00695042">
              <w:rPr>
                <w:rFonts w:hint="eastAsia"/>
                <w:i/>
                <w:iCs/>
              </w:rPr>
              <w:t xml:space="preserve"> UE</w:t>
            </w:r>
            <w:r w:rsidRPr="00695042">
              <w:rPr>
                <w:i/>
                <w:iCs/>
              </w:rPr>
              <w:t xml:space="preserve"> (only PC3)</w:t>
            </w:r>
            <w:r w:rsidRPr="00695042">
              <w:rPr>
                <w:rFonts w:hint="eastAsia"/>
                <w:i/>
                <w:iCs/>
              </w:rPr>
              <w:t xml:space="preserve"> and non-</w:t>
            </w:r>
            <w:proofErr w:type="spellStart"/>
            <w:r w:rsidRPr="00695042">
              <w:rPr>
                <w:rFonts w:hint="eastAsia"/>
                <w:i/>
                <w:iCs/>
              </w:rPr>
              <w:t>RedCap</w:t>
            </w:r>
            <w:proofErr w:type="spellEnd"/>
            <w:r w:rsidRPr="00695042">
              <w:rPr>
                <w:rFonts w:hint="eastAsia"/>
                <w:i/>
                <w:iCs/>
              </w:rPr>
              <w:t xml:space="preserve"> UE</w:t>
            </w:r>
          </w:p>
          <w:p w14:paraId="3889CF10" w14:textId="77777777" w:rsidR="00695042" w:rsidRPr="00695042" w:rsidRDefault="00695042" w:rsidP="00695042">
            <w:pPr>
              <w:pStyle w:val="ListParagraph"/>
              <w:widowControl w:val="0"/>
              <w:numPr>
                <w:ilvl w:val="2"/>
                <w:numId w:val="34"/>
              </w:numPr>
              <w:overflowPunct/>
              <w:autoSpaceDE/>
              <w:autoSpaceDN/>
              <w:adjustRightInd/>
              <w:spacing w:after="0"/>
              <w:ind w:firstLineChars="0"/>
              <w:textAlignment w:val="auto"/>
              <w:rPr>
                <w:i/>
                <w:iCs/>
              </w:rPr>
            </w:pPr>
            <w:r w:rsidRPr="00695042">
              <w:rPr>
                <w:i/>
                <w:iCs/>
              </w:rPr>
              <w:t>Limited to QSPK and 16QAM</w:t>
            </w:r>
          </w:p>
          <w:p w14:paraId="19D95F53" w14:textId="77777777" w:rsidR="00695042" w:rsidRPr="00695042" w:rsidRDefault="00695042" w:rsidP="00695042">
            <w:pPr>
              <w:pStyle w:val="ListParagraph"/>
              <w:widowControl w:val="0"/>
              <w:numPr>
                <w:ilvl w:val="1"/>
                <w:numId w:val="34"/>
              </w:numPr>
              <w:overflowPunct/>
              <w:autoSpaceDE/>
              <w:autoSpaceDN/>
              <w:adjustRightInd/>
              <w:spacing w:after="0"/>
              <w:ind w:firstLineChars="0"/>
              <w:textAlignment w:val="auto"/>
              <w:rPr>
                <w:i/>
                <w:iCs/>
              </w:rPr>
            </w:pPr>
            <w:r w:rsidRPr="00695042">
              <w:rPr>
                <w:i/>
                <w:iCs/>
              </w:rPr>
              <w:t>Specify MPR applicability based on the UL CCs with activated cells for NR intra-band UL CA configuration</w:t>
            </w:r>
          </w:p>
          <w:p w14:paraId="432AA3B5" w14:textId="77777777" w:rsidR="00695042" w:rsidRPr="00695042" w:rsidRDefault="00695042" w:rsidP="00695042">
            <w:pPr>
              <w:pStyle w:val="ListParagraph"/>
              <w:widowControl w:val="0"/>
              <w:numPr>
                <w:ilvl w:val="2"/>
                <w:numId w:val="34"/>
              </w:numPr>
              <w:overflowPunct/>
              <w:autoSpaceDE/>
              <w:autoSpaceDN/>
              <w:adjustRightInd/>
              <w:spacing w:after="0"/>
              <w:ind w:firstLineChars="0"/>
              <w:textAlignment w:val="auto"/>
              <w:rPr>
                <w:i/>
                <w:iCs/>
              </w:rPr>
            </w:pPr>
            <w:r w:rsidRPr="00695042">
              <w:rPr>
                <w:rFonts w:hint="eastAsia"/>
                <w:i/>
                <w:iCs/>
              </w:rPr>
              <w:t xml:space="preserve">Include both intra-band UL </w:t>
            </w:r>
            <w:r w:rsidRPr="00695042">
              <w:rPr>
                <w:i/>
                <w:iCs/>
              </w:rPr>
              <w:t>contiguous</w:t>
            </w:r>
            <w:r w:rsidRPr="00695042">
              <w:rPr>
                <w:rFonts w:hint="eastAsia"/>
                <w:i/>
                <w:iCs/>
              </w:rPr>
              <w:t xml:space="preserve"> </w:t>
            </w:r>
            <w:r w:rsidRPr="00695042">
              <w:rPr>
                <w:i/>
                <w:iCs/>
              </w:rPr>
              <w:t>CA and intra-band non-contiguous UL CA for FR1</w:t>
            </w:r>
          </w:p>
          <w:p w14:paraId="55D72534" w14:textId="77777777" w:rsidR="00695042" w:rsidRPr="00695042" w:rsidRDefault="00695042" w:rsidP="00695042">
            <w:pPr>
              <w:pStyle w:val="ListParagraph"/>
              <w:widowControl w:val="0"/>
              <w:numPr>
                <w:ilvl w:val="2"/>
                <w:numId w:val="34"/>
              </w:numPr>
              <w:overflowPunct/>
              <w:autoSpaceDE/>
              <w:autoSpaceDN/>
              <w:adjustRightInd/>
              <w:spacing w:after="0"/>
              <w:ind w:firstLineChars="0"/>
              <w:textAlignment w:val="auto"/>
              <w:rPr>
                <w:i/>
                <w:iCs/>
              </w:rPr>
            </w:pPr>
            <w:r w:rsidRPr="00695042">
              <w:rPr>
                <w:i/>
                <w:iCs/>
              </w:rPr>
              <w:t>Include intra-band UL contiguous CA and intra-band DL contiguous CA with single UL for FR2</w:t>
            </w:r>
          </w:p>
          <w:p w14:paraId="39BB1C8D" w14:textId="77777777" w:rsidR="00695042" w:rsidRPr="00695042" w:rsidRDefault="00695042" w:rsidP="00695042">
            <w:pPr>
              <w:pStyle w:val="ListParagraph"/>
              <w:widowControl w:val="0"/>
              <w:numPr>
                <w:ilvl w:val="2"/>
                <w:numId w:val="34"/>
              </w:numPr>
              <w:overflowPunct/>
              <w:autoSpaceDE/>
              <w:autoSpaceDN/>
              <w:adjustRightInd/>
              <w:spacing w:after="0"/>
              <w:ind w:firstLineChars="0"/>
              <w:textAlignment w:val="auto"/>
              <w:rPr>
                <w:i/>
                <w:iCs/>
              </w:rPr>
            </w:pPr>
            <w:r w:rsidRPr="00695042">
              <w:rPr>
                <w:i/>
                <w:iCs/>
              </w:rPr>
              <w:t xml:space="preserve">MPR requirement is not applicable until the </w:t>
            </w:r>
            <w:proofErr w:type="spellStart"/>
            <w:r w:rsidRPr="00695042">
              <w:rPr>
                <w:i/>
                <w:iCs/>
              </w:rPr>
              <w:t>SCell</w:t>
            </w:r>
            <w:proofErr w:type="spellEnd"/>
            <w:r w:rsidRPr="00695042">
              <w:rPr>
                <w:i/>
                <w:iCs/>
              </w:rPr>
              <w:t xml:space="preserve"> is activated</w:t>
            </w:r>
          </w:p>
          <w:p w14:paraId="2A0600D0" w14:textId="4AC08077" w:rsidR="00A94841" w:rsidRPr="00695042" w:rsidRDefault="00695042" w:rsidP="00A94841">
            <w:pPr>
              <w:pStyle w:val="ListParagraph"/>
              <w:widowControl w:val="0"/>
              <w:numPr>
                <w:ilvl w:val="1"/>
                <w:numId w:val="34"/>
              </w:numPr>
              <w:overflowPunct/>
              <w:autoSpaceDE/>
              <w:autoSpaceDN/>
              <w:adjustRightInd/>
              <w:ind w:firstLineChars="0"/>
              <w:textAlignment w:val="auto"/>
              <w:rPr>
                <w:i/>
                <w:iCs/>
              </w:rPr>
            </w:pPr>
            <w:r w:rsidRPr="00695042">
              <w:rPr>
                <w:i/>
                <w:iCs/>
              </w:rPr>
              <w:t xml:space="preserve">Necessary </w:t>
            </w:r>
            <w:proofErr w:type="spellStart"/>
            <w:r w:rsidRPr="00695042">
              <w:rPr>
                <w:i/>
                <w:iCs/>
              </w:rPr>
              <w:t>signaling</w:t>
            </w:r>
            <w:proofErr w:type="spellEnd"/>
            <w:r w:rsidRPr="00695042">
              <w:rPr>
                <w:i/>
                <w:iCs/>
              </w:rPr>
              <w:t xml:space="preserve"> to support the above objectives</w:t>
            </w:r>
          </w:p>
        </w:tc>
      </w:tr>
    </w:tbl>
    <w:p w14:paraId="3E62A9A4" w14:textId="77777777" w:rsidR="00A94841" w:rsidRDefault="00A94841" w:rsidP="00A94841">
      <w:pPr>
        <w:pStyle w:val="B1"/>
        <w:ind w:left="0" w:firstLine="0"/>
        <w:rPr>
          <w:lang w:eastAsia="zh-CN"/>
        </w:rPr>
      </w:pPr>
    </w:p>
    <w:p w14:paraId="4BBA5EAE" w14:textId="186E5FB5" w:rsidR="006B544A" w:rsidRDefault="00143525" w:rsidP="00143525">
      <w:pPr>
        <w:pStyle w:val="B1"/>
        <w:ind w:left="284"/>
        <w:rPr>
          <w:lang w:eastAsia="zh-CN"/>
        </w:rPr>
      </w:pPr>
      <w:r>
        <w:rPr>
          <w:lang w:eastAsia="zh-CN"/>
        </w:rPr>
        <w:t>This contribution addresses a potential concern that lacks clarity within the specified scope</w:t>
      </w:r>
      <w:r w:rsidR="00BF130A">
        <w:rPr>
          <w:lang w:eastAsia="zh-CN"/>
        </w:rPr>
        <w:t xml:space="preserve"> for this WI</w:t>
      </w:r>
      <w:r>
        <w:rPr>
          <w:lang w:eastAsia="zh-CN"/>
        </w:rPr>
        <w:t>.</w:t>
      </w:r>
    </w:p>
    <w:p w14:paraId="29EF9E55" w14:textId="56401BCF" w:rsidR="00163132" w:rsidRPr="00AB3D40" w:rsidRDefault="006B544A" w:rsidP="003E08FC">
      <w:pPr>
        <w:pStyle w:val="Heading1"/>
        <w:rPr>
          <w:lang w:eastAsia="zh-CN"/>
        </w:rPr>
      </w:pPr>
      <w:r>
        <w:t>2 Discussion</w:t>
      </w:r>
    </w:p>
    <w:p w14:paraId="74140C72" w14:textId="47297B0F" w:rsidR="00163132" w:rsidRDefault="00BF130A" w:rsidP="00140D26">
      <w:pPr>
        <w:pStyle w:val="B1"/>
        <w:ind w:left="0" w:firstLine="0"/>
        <w:rPr>
          <w:lang w:eastAsia="zh-CN"/>
        </w:rPr>
      </w:pPr>
      <w:r>
        <w:rPr>
          <w:lang w:eastAsia="zh-CN"/>
        </w:rPr>
        <w:t>As pointed out in the WID [1], t</w:t>
      </w:r>
      <w:r w:rsidRPr="00BF130A">
        <w:rPr>
          <w:lang w:eastAsia="zh-CN"/>
        </w:rPr>
        <w:t xml:space="preserve">he existing </w:t>
      </w:r>
      <w:r>
        <w:rPr>
          <w:lang w:eastAsia="zh-CN"/>
        </w:rPr>
        <w:t>MPR</w:t>
      </w:r>
      <w:r w:rsidRPr="00BF130A">
        <w:rPr>
          <w:lang w:eastAsia="zh-CN"/>
        </w:rPr>
        <w:t xml:space="preserve"> for intra-band non-contiguous UL </w:t>
      </w:r>
      <w:r>
        <w:rPr>
          <w:lang w:eastAsia="zh-CN"/>
        </w:rPr>
        <w:t>CA</w:t>
      </w:r>
      <w:r w:rsidRPr="00BF130A">
        <w:rPr>
          <w:lang w:eastAsia="zh-CN"/>
        </w:rPr>
        <w:t xml:space="preserve"> is </w:t>
      </w:r>
      <w:r>
        <w:rPr>
          <w:lang w:eastAsia="zh-CN"/>
        </w:rPr>
        <w:t>specified</w:t>
      </w:r>
      <w:r w:rsidRPr="00BF130A">
        <w:rPr>
          <w:lang w:eastAsia="zh-CN"/>
        </w:rPr>
        <w:t xml:space="preserve"> under the presumption of a single </w:t>
      </w:r>
      <w:r>
        <w:rPr>
          <w:lang w:eastAsia="zh-CN"/>
        </w:rPr>
        <w:t>PA</w:t>
      </w:r>
      <w:r w:rsidRPr="00BF130A">
        <w:rPr>
          <w:lang w:eastAsia="zh-CN"/>
        </w:rPr>
        <w:t xml:space="preserve"> and the capability of one </w:t>
      </w:r>
      <w:r>
        <w:rPr>
          <w:lang w:eastAsia="zh-CN"/>
        </w:rPr>
        <w:t>Tx</w:t>
      </w:r>
      <w:r w:rsidRPr="00BF130A">
        <w:rPr>
          <w:lang w:eastAsia="zh-CN"/>
        </w:rPr>
        <w:t xml:space="preserve"> branch to accommodate non-contiguous frequency blocks with separations of less than 100MHz</w:t>
      </w:r>
      <w:r>
        <w:rPr>
          <w:lang w:eastAsia="zh-CN"/>
        </w:rPr>
        <w:t xml:space="preserve"> in FR1. </w:t>
      </w:r>
      <w:r w:rsidR="007C1C85">
        <w:rPr>
          <w:lang w:eastAsia="zh-CN"/>
        </w:rPr>
        <w:t xml:space="preserve">It actually means that if a UE supports an intra-band non-contiguous UL CA with separations of less than 100MHz in FR1 by implementation of dual PAs, then the current MPR for intra-band non-contiguous UL CA is not applicable, or there is no MPR requirement defined in this case. </w:t>
      </w:r>
      <w:r w:rsidR="007C1C85" w:rsidRPr="007C1C85">
        <w:rPr>
          <w:lang w:eastAsia="zh-CN"/>
        </w:rPr>
        <w:t>This approach allows the UE to utilize any MPR value at its discretion, which is not aligned with the intended network perspective.</w:t>
      </w:r>
      <w:r w:rsidR="007C1C85">
        <w:rPr>
          <w:lang w:eastAsia="zh-CN"/>
        </w:rPr>
        <w:t xml:space="preserve"> </w:t>
      </w:r>
      <w:r w:rsidR="008A58AD">
        <w:rPr>
          <w:lang w:eastAsia="zh-CN"/>
        </w:rPr>
        <w:t xml:space="preserve">We actually also discussed this issue with some RAN4 veteran expert. </w:t>
      </w:r>
      <w:r w:rsidR="002472D9" w:rsidRPr="002472D9">
        <w:rPr>
          <w:lang w:eastAsia="zh-CN"/>
        </w:rPr>
        <w:t xml:space="preserve">Whether to address this </w:t>
      </w:r>
      <w:r w:rsidR="002472D9">
        <w:rPr>
          <w:lang w:eastAsia="zh-CN"/>
        </w:rPr>
        <w:t>missing piece</w:t>
      </w:r>
      <w:r w:rsidR="002472D9" w:rsidRPr="002472D9">
        <w:rPr>
          <w:lang w:eastAsia="zh-CN"/>
        </w:rPr>
        <w:t xml:space="preserve"> in the WID is currently ambiguous. It would be advisable for RAN4 to provide clarification </w:t>
      </w:r>
      <w:r w:rsidR="002472D9">
        <w:rPr>
          <w:lang w:eastAsia="zh-CN"/>
        </w:rPr>
        <w:t>in the early stage</w:t>
      </w:r>
      <w:r w:rsidR="002472D9" w:rsidRPr="002472D9">
        <w:rPr>
          <w:lang w:eastAsia="zh-CN"/>
        </w:rPr>
        <w:t>.</w:t>
      </w:r>
    </w:p>
    <w:p w14:paraId="471B2A70" w14:textId="6952C4E6" w:rsidR="007C1C85" w:rsidRPr="002472D9" w:rsidRDefault="007C1C85" w:rsidP="002472D9">
      <w:pPr>
        <w:pStyle w:val="B1"/>
        <w:ind w:left="990" w:hanging="990"/>
        <w:rPr>
          <w:b/>
          <w:bCs/>
          <w:lang w:eastAsia="zh-CN"/>
        </w:rPr>
      </w:pPr>
      <w:r w:rsidRPr="002472D9">
        <w:rPr>
          <w:b/>
          <w:bCs/>
          <w:lang w:eastAsia="zh-CN"/>
        </w:rPr>
        <w:t xml:space="preserve">Proposal 1: </w:t>
      </w:r>
      <w:r w:rsidR="002472D9" w:rsidRPr="002472D9">
        <w:rPr>
          <w:b/>
          <w:bCs/>
          <w:lang w:eastAsia="zh-CN"/>
        </w:rPr>
        <w:t>RAN4 needs to clarify whether it intends to specify MPR requirements in this WID for intra-band non-contiguous UL CA with a dual PA architecture.</w:t>
      </w:r>
    </w:p>
    <w:p w14:paraId="4CDD6AE6" w14:textId="77777777" w:rsidR="006B544A" w:rsidRDefault="006B544A" w:rsidP="003E08FC">
      <w:pPr>
        <w:pStyle w:val="B1"/>
        <w:rPr>
          <w:lang w:eastAsia="zh-CN"/>
        </w:rPr>
      </w:pPr>
    </w:p>
    <w:p w14:paraId="0FA06047" w14:textId="6A39A828" w:rsidR="006B544A" w:rsidRPr="00AB3D40" w:rsidRDefault="006B544A" w:rsidP="006B544A">
      <w:pPr>
        <w:pStyle w:val="Heading1"/>
        <w:rPr>
          <w:lang w:eastAsia="zh-CN"/>
        </w:rPr>
      </w:pPr>
      <w:r>
        <w:lastRenderedPageBreak/>
        <w:t>3 Conclusion</w:t>
      </w:r>
    </w:p>
    <w:p w14:paraId="3801A450" w14:textId="7A77221C" w:rsidR="006B544A" w:rsidRDefault="002472D9" w:rsidP="002472D9">
      <w:pPr>
        <w:pStyle w:val="B1"/>
        <w:ind w:left="0" w:firstLine="0"/>
        <w:rPr>
          <w:lang w:eastAsia="zh-CN"/>
        </w:rPr>
      </w:pPr>
      <w:r>
        <w:rPr>
          <w:lang w:eastAsia="zh-CN"/>
        </w:rPr>
        <w:t>In this contribution, we have the following proposal for power domain enhancements:</w:t>
      </w:r>
    </w:p>
    <w:p w14:paraId="6C7E9361" w14:textId="77777777" w:rsidR="002472D9" w:rsidRPr="002472D9" w:rsidRDefault="002472D9" w:rsidP="002472D9">
      <w:pPr>
        <w:pStyle w:val="B1"/>
        <w:ind w:left="990" w:hanging="990"/>
        <w:rPr>
          <w:b/>
          <w:bCs/>
          <w:lang w:eastAsia="zh-CN"/>
        </w:rPr>
      </w:pPr>
      <w:r w:rsidRPr="002472D9">
        <w:rPr>
          <w:b/>
          <w:bCs/>
          <w:lang w:eastAsia="zh-CN"/>
        </w:rPr>
        <w:t>Proposal 1: RAN4 needs to clarify whether it intends to specify MPR requirements in this WID for intra-band non-contiguous UL CA with a dual PA architecture.</w:t>
      </w:r>
    </w:p>
    <w:p w14:paraId="78DFBFCE" w14:textId="77777777" w:rsidR="002472D9" w:rsidRDefault="002472D9" w:rsidP="002472D9">
      <w:pPr>
        <w:pStyle w:val="B1"/>
        <w:ind w:left="0" w:firstLine="0"/>
        <w:rPr>
          <w:lang w:eastAsia="zh-CN"/>
        </w:rPr>
      </w:pPr>
    </w:p>
    <w:p w14:paraId="2D87D0E0" w14:textId="60E06AA2" w:rsidR="006B544A" w:rsidRPr="00AB3D40" w:rsidRDefault="006B544A" w:rsidP="006B544A">
      <w:pPr>
        <w:pStyle w:val="Heading1"/>
        <w:rPr>
          <w:lang w:eastAsia="zh-CN"/>
        </w:rPr>
      </w:pPr>
      <w:r>
        <w:t>Reference</w:t>
      </w:r>
    </w:p>
    <w:p w14:paraId="12AA42CB" w14:textId="07DA6BF7" w:rsidR="006B544A" w:rsidRDefault="00E30700" w:rsidP="006B544A">
      <w:pPr>
        <w:pStyle w:val="B1"/>
        <w:numPr>
          <w:ilvl w:val="0"/>
          <w:numId w:val="32"/>
        </w:numPr>
        <w:rPr>
          <w:lang w:eastAsia="zh-CN"/>
        </w:rPr>
      </w:pPr>
      <w:r w:rsidRPr="00E30700">
        <w:rPr>
          <w:lang w:eastAsia="zh-CN"/>
        </w:rPr>
        <w:t>RP-240828, New WID: UE RF enhancements for NR FR1/FR2 and EN-DC, Phase 4, RAN4 Chair (Huawei).</w:t>
      </w:r>
    </w:p>
    <w:p w14:paraId="6CD2F194" w14:textId="77777777" w:rsidR="006B544A" w:rsidRDefault="006B544A" w:rsidP="0017399B">
      <w:pPr>
        <w:pStyle w:val="B1"/>
        <w:ind w:left="0" w:firstLine="0"/>
        <w:rPr>
          <w:lang w:eastAsia="zh-CN"/>
        </w:rPr>
      </w:pPr>
    </w:p>
    <w:p w14:paraId="51620676" w14:textId="77777777" w:rsidR="006B544A" w:rsidRDefault="006B544A" w:rsidP="006B544A">
      <w:pPr>
        <w:pStyle w:val="B1"/>
        <w:rPr>
          <w:lang w:eastAsia="zh-CN"/>
        </w:rPr>
      </w:pPr>
    </w:p>
    <w:p w14:paraId="6A77C3D3" w14:textId="77777777" w:rsidR="006B544A" w:rsidRDefault="006B544A" w:rsidP="003E08FC">
      <w:pPr>
        <w:pStyle w:val="B1"/>
        <w:rPr>
          <w:lang w:eastAsia="zh-CN"/>
        </w:rPr>
      </w:pPr>
    </w:p>
    <w:sectPr w:rsidR="006B544A" w:rsidSect="00A6347A">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BF5FF" w14:textId="77777777" w:rsidR="00A6347A" w:rsidRPr="00A10429" w:rsidRDefault="00A6347A" w:rsidP="0064547A">
      <w:pPr>
        <w:spacing w:after="0"/>
        <w:rPr>
          <w:kern w:val="2"/>
          <w:lang w:eastAsia="zh-CN"/>
        </w:rPr>
      </w:pPr>
      <w:r>
        <w:separator/>
      </w:r>
    </w:p>
  </w:endnote>
  <w:endnote w:type="continuationSeparator" w:id="0">
    <w:p w14:paraId="650BA744" w14:textId="77777777" w:rsidR="00A6347A" w:rsidRPr="00A10429" w:rsidRDefault="00A6347A"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21B22" w14:textId="77777777" w:rsidR="00A6347A" w:rsidRPr="00A10429" w:rsidRDefault="00A6347A" w:rsidP="0064547A">
      <w:pPr>
        <w:spacing w:after="0"/>
        <w:rPr>
          <w:kern w:val="2"/>
          <w:lang w:eastAsia="zh-CN"/>
        </w:rPr>
      </w:pPr>
      <w:r>
        <w:separator/>
      </w:r>
    </w:p>
  </w:footnote>
  <w:footnote w:type="continuationSeparator" w:id="0">
    <w:p w14:paraId="7A9047B1" w14:textId="77777777" w:rsidR="00A6347A" w:rsidRPr="00A10429" w:rsidRDefault="00A6347A"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820724"/>
    <w:multiLevelType w:val="hybridMultilevel"/>
    <w:tmpl w:val="2B907C3C"/>
    <w:lvl w:ilvl="0" w:tplc="3F88D218">
      <w:start w:val="1"/>
      <w:numFmt w:val="decimal"/>
      <w:lvlText w:val="[%1]"/>
      <w:lvlJc w:val="left"/>
      <w:pPr>
        <w:ind w:left="360" w:hanging="360"/>
      </w:pPr>
      <w:rPr>
        <w:rFonts w:hint="default"/>
      </w:rPr>
    </w:lvl>
    <w:lvl w:ilvl="1" w:tplc="10000019" w:tentative="1">
      <w:start w:val="1"/>
      <w:numFmt w:val="lowerLetter"/>
      <w:lvlText w:val="%2."/>
      <w:lvlJc w:val="left"/>
      <w:pPr>
        <w:ind w:left="796" w:hanging="360"/>
      </w:pPr>
    </w:lvl>
    <w:lvl w:ilvl="2" w:tplc="1000001B" w:tentative="1">
      <w:start w:val="1"/>
      <w:numFmt w:val="lowerRoman"/>
      <w:lvlText w:val="%3."/>
      <w:lvlJc w:val="right"/>
      <w:pPr>
        <w:ind w:left="1516" w:hanging="180"/>
      </w:pPr>
    </w:lvl>
    <w:lvl w:ilvl="3" w:tplc="1000000F" w:tentative="1">
      <w:start w:val="1"/>
      <w:numFmt w:val="decimal"/>
      <w:lvlText w:val="%4."/>
      <w:lvlJc w:val="left"/>
      <w:pPr>
        <w:ind w:left="2236" w:hanging="360"/>
      </w:pPr>
    </w:lvl>
    <w:lvl w:ilvl="4" w:tplc="10000019" w:tentative="1">
      <w:start w:val="1"/>
      <w:numFmt w:val="lowerLetter"/>
      <w:lvlText w:val="%5."/>
      <w:lvlJc w:val="left"/>
      <w:pPr>
        <w:ind w:left="2956" w:hanging="360"/>
      </w:pPr>
    </w:lvl>
    <w:lvl w:ilvl="5" w:tplc="1000001B" w:tentative="1">
      <w:start w:val="1"/>
      <w:numFmt w:val="lowerRoman"/>
      <w:lvlText w:val="%6."/>
      <w:lvlJc w:val="right"/>
      <w:pPr>
        <w:ind w:left="3676" w:hanging="180"/>
      </w:pPr>
    </w:lvl>
    <w:lvl w:ilvl="6" w:tplc="1000000F" w:tentative="1">
      <w:start w:val="1"/>
      <w:numFmt w:val="decimal"/>
      <w:lvlText w:val="%7."/>
      <w:lvlJc w:val="left"/>
      <w:pPr>
        <w:ind w:left="4396" w:hanging="360"/>
      </w:pPr>
    </w:lvl>
    <w:lvl w:ilvl="7" w:tplc="10000019" w:tentative="1">
      <w:start w:val="1"/>
      <w:numFmt w:val="lowerLetter"/>
      <w:lvlText w:val="%8."/>
      <w:lvlJc w:val="left"/>
      <w:pPr>
        <w:ind w:left="5116" w:hanging="360"/>
      </w:pPr>
    </w:lvl>
    <w:lvl w:ilvl="8" w:tplc="1000001B" w:tentative="1">
      <w:start w:val="1"/>
      <w:numFmt w:val="lowerRoman"/>
      <w:lvlText w:val="%9."/>
      <w:lvlJc w:val="right"/>
      <w:pPr>
        <w:ind w:left="5836" w:hanging="18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5"/>
  </w:num>
  <w:num w:numId="2" w16cid:durableId="767700499">
    <w:abstractNumId w:val="14"/>
  </w:num>
  <w:num w:numId="3" w16cid:durableId="980884213">
    <w:abstractNumId w:val="24"/>
  </w:num>
  <w:num w:numId="4" w16cid:durableId="1846701611">
    <w:abstractNumId w:val="13"/>
  </w:num>
  <w:num w:numId="5" w16cid:durableId="699012852">
    <w:abstractNumId w:val="6"/>
  </w:num>
  <w:num w:numId="6" w16cid:durableId="1450201014">
    <w:abstractNumId w:val="19"/>
  </w:num>
  <w:num w:numId="7" w16cid:durableId="1073939429">
    <w:abstractNumId w:val="5"/>
  </w:num>
  <w:num w:numId="8" w16cid:durableId="214005466">
    <w:abstractNumId w:val="18"/>
  </w:num>
  <w:num w:numId="9" w16cid:durableId="1446921232">
    <w:abstractNumId w:val="25"/>
  </w:num>
  <w:num w:numId="10" w16cid:durableId="1699429464">
    <w:abstractNumId w:val="25"/>
  </w:num>
  <w:num w:numId="11" w16cid:durableId="1062680395">
    <w:abstractNumId w:val="1"/>
  </w:num>
  <w:num w:numId="12" w16cid:durableId="2118793171">
    <w:abstractNumId w:val="9"/>
  </w:num>
  <w:num w:numId="13" w16cid:durableId="1243837963">
    <w:abstractNumId w:val="8"/>
  </w:num>
  <w:num w:numId="14" w16cid:durableId="1296058729">
    <w:abstractNumId w:val="23"/>
  </w:num>
  <w:num w:numId="15" w16cid:durableId="1988124532">
    <w:abstractNumId w:val="25"/>
  </w:num>
  <w:num w:numId="16" w16cid:durableId="563225832">
    <w:abstractNumId w:val="25"/>
  </w:num>
  <w:num w:numId="17" w16cid:durableId="599262311">
    <w:abstractNumId w:val="17"/>
  </w:num>
  <w:num w:numId="18" w16cid:durableId="161748096">
    <w:abstractNumId w:val="26"/>
  </w:num>
  <w:num w:numId="19" w16cid:durableId="573126915">
    <w:abstractNumId w:val="25"/>
  </w:num>
  <w:num w:numId="20" w16cid:durableId="2004045065">
    <w:abstractNumId w:val="7"/>
  </w:num>
  <w:num w:numId="21" w16cid:durableId="584807274">
    <w:abstractNumId w:val="25"/>
  </w:num>
  <w:num w:numId="22" w16cid:durableId="181170718">
    <w:abstractNumId w:val="25"/>
  </w:num>
  <w:num w:numId="23" w16cid:durableId="1139999911">
    <w:abstractNumId w:val="10"/>
  </w:num>
  <w:num w:numId="24" w16cid:durableId="986275603">
    <w:abstractNumId w:val="3"/>
  </w:num>
  <w:num w:numId="25" w16cid:durableId="757677477">
    <w:abstractNumId w:val="0"/>
  </w:num>
  <w:num w:numId="26" w16cid:durableId="416564558">
    <w:abstractNumId w:val="11"/>
  </w:num>
  <w:num w:numId="27" w16cid:durableId="119879853">
    <w:abstractNumId w:val="12"/>
  </w:num>
  <w:num w:numId="28" w16cid:durableId="375130886">
    <w:abstractNumId w:val="20"/>
  </w:num>
  <w:num w:numId="29" w16cid:durableId="381445059">
    <w:abstractNumId w:val="22"/>
  </w:num>
  <w:num w:numId="30" w16cid:durableId="2003196174">
    <w:abstractNumId w:val="16"/>
  </w:num>
  <w:num w:numId="31" w16cid:durableId="886913614">
    <w:abstractNumId w:val="15"/>
  </w:num>
  <w:num w:numId="32" w16cid:durableId="1290436546">
    <w:abstractNumId w:val="4"/>
  </w:num>
  <w:num w:numId="33" w16cid:durableId="1128280257">
    <w:abstractNumId w:val="21"/>
  </w:num>
  <w:num w:numId="34" w16cid:durableId="208548810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7DA"/>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0D26"/>
    <w:rsid w:val="0014152A"/>
    <w:rsid w:val="00143525"/>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99B"/>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31F"/>
    <w:rsid w:val="00213F0D"/>
    <w:rsid w:val="002145B5"/>
    <w:rsid w:val="002147A1"/>
    <w:rsid w:val="00215978"/>
    <w:rsid w:val="002173C7"/>
    <w:rsid w:val="00217A80"/>
    <w:rsid w:val="0022200D"/>
    <w:rsid w:val="00222346"/>
    <w:rsid w:val="00222930"/>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2D9"/>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259"/>
    <w:rsid w:val="00346AC1"/>
    <w:rsid w:val="0034792E"/>
    <w:rsid w:val="00347EE4"/>
    <w:rsid w:val="003516D1"/>
    <w:rsid w:val="0035188A"/>
    <w:rsid w:val="00351E6A"/>
    <w:rsid w:val="0035237C"/>
    <w:rsid w:val="00355B5C"/>
    <w:rsid w:val="00357962"/>
    <w:rsid w:val="0036050E"/>
    <w:rsid w:val="00362355"/>
    <w:rsid w:val="0036361A"/>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10F"/>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98A"/>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042"/>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41FA"/>
    <w:rsid w:val="006B544A"/>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1C85"/>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5DCF"/>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58AD"/>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455"/>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22F"/>
    <w:rsid w:val="00A10B6D"/>
    <w:rsid w:val="00A10F8E"/>
    <w:rsid w:val="00A11F48"/>
    <w:rsid w:val="00A12D99"/>
    <w:rsid w:val="00A14265"/>
    <w:rsid w:val="00A14926"/>
    <w:rsid w:val="00A14B7F"/>
    <w:rsid w:val="00A153B6"/>
    <w:rsid w:val="00A156CF"/>
    <w:rsid w:val="00A15F4C"/>
    <w:rsid w:val="00A1604D"/>
    <w:rsid w:val="00A177E8"/>
    <w:rsid w:val="00A17B82"/>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6087"/>
    <w:rsid w:val="00A47CF4"/>
    <w:rsid w:val="00A515A6"/>
    <w:rsid w:val="00A51758"/>
    <w:rsid w:val="00A53700"/>
    <w:rsid w:val="00A54657"/>
    <w:rsid w:val="00A5473D"/>
    <w:rsid w:val="00A55FF9"/>
    <w:rsid w:val="00A60708"/>
    <w:rsid w:val="00A622CC"/>
    <w:rsid w:val="00A629CC"/>
    <w:rsid w:val="00A62EA2"/>
    <w:rsid w:val="00A6347A"/>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41"/>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154D"/>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30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4D9D"/>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2861"/>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0C2D"/>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13"/>
    <w:rsid w:val="00E25FC3"/>
    <w:rsid w:val="00E26988"/>
    <w:rsid w:val="00E26EF6"/>
    <w:rsid w:val="00E26F0F"/>
    <w:rsid w:val="00E30700"/>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C08"/>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locked/>
    <w:rsid w:val="00695042"/>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TotalTime>
  <Pages>2</Pages>
  <Words>636</Words>
  <Characters>3628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16</cp:revision>
  <dcterms:created xsi:type="dcterms:W3CDTF">2024-04-07T20:20:00Z</dcterms:created>
  <dcterms:modified xsi:type="dcterms:W3CDTF">2024-04-08T07:05:00Z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